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内蒙古优然牧业有限责任公司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2025届秋季校园招聘简章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简介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优然牧业是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全球最大的原料奶供应商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年6月18日在港交所上市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。公司业务完整地覆盖乳业上游</w:t>
      </w:r>
      <w:r>
        <w:rPr>
          <w:rFonts w:hint="eastAsia" w:ascii="仿宋" w:hAnsi="仿宋" w:eastAsia="仿宋" w:cs="仿宋"/>
          <w:i w:val="0"/>
          <w:iCs w:val="0"/>
          <w:kern w:val="2"/>
          <w:sz w:val="24"/>
          <w:szCs w:val="24"/>
          <w:u w:val="none"/>
          <w:lang w:val="en-US" w:eastAsia="zh-CN" w:bidi="ar-SA"/>
        </w:rPr>
        <w:t>育种、草业、饲料、奶牛养殖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全产业链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，并且各业务均做到行业领先。优然牧业还是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Hans"/>
        </w:rPr>
        <w:t>中国最大的特色生鲜乳供应商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中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国最大的反刍动物饲料供应商、中国最大的苜蓿草供应商、中国最大的奶牛育种企业，拥有国内最大的牧业产业链交易中心——聚牧城科技。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2023年，优然牧业实现总收入186.94亿元，同比增长3.6%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2024年上半年，优然牧业实现营收100.55亿元，同比增长10.8%。</w:t>
      </w:r>
    </w:p>
    <w:p>
      <w:pPr>
        <w:spacing w:line="360" w:lineRule="auto"/>
        <w:ind w:firstLine="48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优然牧业的育种、草业、饲料、奶牛养殖各业务形成协同效应，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有效降低成本，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形成了“好种育好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牛、好料养好牛、好牛产好奶”的有机循环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育种为提升牛群整体遗传品质，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提高成母牛单产和原料奶品质提供基础保障；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高品质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饲料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有利于提升奶牛单产和消化率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饲料业务联合奶牛养殖业务集中采购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有利于饲料业务降低供应链成本；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奶牛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养殖和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草业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业务形成“种养结合”循环模式，牧场就近配套种植基地，为牧场解决饲草需求，帮助牧场解决有机粪肥还田，为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饲草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种植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提供肥料，降低化肥使用量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二、招聘需求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（一）基本条件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1.2025届毕业生；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2.学习成绩优秀，品行端正，无违法违纪等不良记录；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3.具有良好的在校表现和丰富的校外实践经历；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4.具备较强的沟通能力和团队协作精神、活泼开朗、乐观进取。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（二）具体岗位</w:t>
      </w:r>
    </w:p>
    <w:tbl>
      <w:tblPr>
        <w:tblStyle w:val="4"/>
        <w:tblW w:w="11073" w:type="dxa"/>
        <w:tblInd w:w="-1247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5"/>
        <w:gridCol w:w="1800"/>
        <w:gridCol w:w="1323"/>
        <w:gridCol w:w="1268"/>
        <w:gridCol w:w="4105"/>
        <w:gridCol w:w="764"/>
        <w:gridCol w:w="1118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号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分类</w:t>
            </w:r>
          </w:p>
        </w:tc>
        <w:tc>
          <w:tcPr>
            <w:tcW w:w="1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学历要求</w:t>
            </w:r>
          </w:p>
        </w:tc>
        <w:tc>
          <w:tcPr>
            <w:tcW w:w="4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专业要求</w:t>
            </w:r>
          </w:p>
        </w:tc>
        <w:tc>
          <w:tcPr>
            <w:tcW w:w="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人数</w:t>
            </w:r>
          </w:p>
        </w:tc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工作地点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综合部、企业事务部</w:t>
            </w:r>
          </w:p>
        </w:tc>
        <w:tc>
          <w:tcPr>
            <w:tcW w:w="1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行政类</w:t>
            </w:r>
          </w:p>
        </w:tc>
        <w:tc>
          <w:tcPr>
            <w:tcW w:w="1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新闻、传播、行政管理、工商管理等相关专业</w:t>
            </w:r>
          </w:p>
        </w:tc>
        <w:tc>
          <w:tcPr>
            <w:tcW w:w="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优然总部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经营管理部</w:t>
            </w:r>
          </w:p>
        </w:tc>
        <w:tc>
          <w:tcPr>
            <w:tcW w:w="1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数据分析类</w:t>
            </w:r>
          </w:p>
        </w:tc>
        <w:tc>
          <w:tcPr>
            <w:tcW w:w="1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4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会计、金融、统计、税务、数字化等相关专业</w:t>
            </w:r>
          </w:p>
        </w:tc>
        <w:tc>
          <w:tcPr>
            <w:tcW w:w="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优然总部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数字科技中心</w:t>
            </w:r>
          </w:p>
        </w:tc>
        <w:tc>
          <w:tcPr>
            <w:tcW w:w="1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信息类</w:t>
            </w:r>
          </w:p>
        </w:tc>
        <w:tc>
          <w:tcPr>
            <w:tcW w:w="1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物联网、计算机、互联网、大数据等相关专业</w:t>
            </w:r>
          </w:p>
        </w:tc>
        <w:tc>
          <w:tcPr>
            <w:tcW w:w="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优然总部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质量管理部</w:t>
            </w:r>
          </w:p>
        </w:tc>
        <w:tc>
          <w:tcPr>
            <w:tcW w:w="1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质量ESG类</w:t>
            </w:r>
          </w:p>
        </w:tc>
        <w:tc>
          <w:tcPr>
            <w:tcW w:w="1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4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双碳、环保、环境工程等相关专业</w:t>
            </w:r>
          </w:p>
        </w:tc>
        <w:tc>
          <w:tcPr>
            <w:tcW w:w="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优然总部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畜牧饲养部、饲料研发部</w:t>
            </w:r>
          </w:p>
        </w:tc>
        <w:tc>
          <w:tcPr>
            <w:tcW w:w="1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营养研发类</w:t>
            </w:r>
          </w:p>
        </w:tc>
        <w:tc>
          <w:tcPr>
            <w:tcW w:w="1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4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饲料、动物营养、畜牧等相关专业</w:t>
            </w:r>
          </w:p>
        </w:tc>
        <w:tc>
          <w:tcPr>
            <w:tcW w:w="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优然总部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饲料市场部</w:t>
            </w:r>
          </w:p>
        </w:tc>
        <w:tc>
          <w:tcPr>
            <w:tcW w:w="1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营销策划类</w:t>
            </w:r>
          </w:p>
        </w:tc>
        <w:tc>
          <w:tcPr>
            <w:tcW w:w="1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4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电子商务、广告学、市场营销、数字化等相关专业</w:t>
            </w:r>
          </w:p>
        </w:tc>
        <w:tc>
          <w:tcPr>
            <w:tcW w:w="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优然总部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饲料电商中心</w:t>
            </w:r>
          </w:p>
        </w:tc>
        <w:tc>
          <w:tcPr>
            <w:tcW w:w="1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电商运营类</w:t>
            </w:r>
          </w:p>
        </w:tc>
        <w:tc>
          <w:tcPr>
            <w:tcW w:w="1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4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电子商务、广告学、市场营销、数字化等相关专业</w:t>
            </w:r>
          </w:p>
        </w:tc>
        <w:tc>
          <w:tcPr>
            <w:tcW w:w="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优然总部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饲料销售部</w:t>
            </w:r>
          </w:p>
        </w:tc>
        <w:tc>
          <w:tcPr>
            <w:tcW w:w="1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销售数据分析类</w:t>
            </w:r>
          </w:p>
        </w:tc>
        <w:tc>
          <w:tcPr>
            <w:tcW w:w="1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广告学、市场营销、数字化等相关专业</w:t>
            </w:r>
          </w:p>
        </w:tc>
        <w:tc>
          <w:tcPr>
            <w:tcW w:w="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优然总部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优然总部、畜牧、饲料单元各单位</w:t>
            </w:r>
          </w:p>
        </w:tc>
        <w:tc>
          <w:tcPr>
            <w:tcW w:w="1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供应保障类</w:t>
            </w:r>
          </w:p>
        </w:tc>
        <w:tc>
          <w:tcPr>
            <w:tcW w:w="1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物流、供应链、英语、计算机相关专业</w:t>
            </w:r>
          </w:p>
        </w:tc>
        <w:tc>
          <w:tcPr>
            <w:tcW w:w="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畜牧单元各单位</w:t>
            </w:r>
          </w:p>
        </w:tc>
        <w:tc>
          <w:tcPr>
            <w:tcW w:w="1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环保类</w:t>
            </w:r>
          </w:p>
        </w:tc>
        <w:tc>
          <w:tcPr>
            <w:tcW w:w="1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双碳、环保、环境工程等相关专业</w:t>
            </w:r>
          </w:p>
        </w:tc>
        <w:tc>
          <w:tcPr>
            <w:tcW w:w="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畜牧、饲料单元及各单位</w:t>
            </w:r>
          </w:p>
        </w:tc>
        <w:tc>
          <w:tcPr>
            <w:tcW w:w="1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财务管理类</w:t>
            </w:r>
          </w:p>
        </w:tc>
        <w:tc>
          <w:tcPr>
            <w:tcW w:w="1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会计、金融、统计、税务等相关专业</w:t>
            </w:r>
          </w:p>
        </w:tc>
        <w:tc>
          <w:tcPr>
            <w:tcW w:w="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畜牧单元牧场</w:t>
            </w:r>
          </w:p>
        </w:tc>
        <w:tc>
          <w:tcPr>
            <w:tcW w:w="1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畜牧生产类</w:t>
            </w:r>
          </w:p>
        </w:tc>
        <w:tc>
          <w:tcPr>
            <w:tcW w:w="1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畜牧兽医、动科动医、生物技术、草业科学、食品科学等相关专业</w:t>
            </w:r>
          </w:p>
        </w:tc>
        <w:tc>
          <w:tcPr>
            <w:tcW w:w="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畜牧单元牧场</w:t>
            </w:r>
          </w:p>
        </w:tc>
        <w:tc>
          <w:tcPr>
            <w:tcW w:w="1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质量类</w:t>
            </w:r>
          </w:p>
        </w:tc>
        <w:tc>
          <w:tcPr>
            <w:tcW w:w="1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动物科学、生物技术、食品、乳品等相关专业</w:t>
            </w:r>
          </w:p>
        </w:tc>
        <w:tc>
          <w:tcPr>
            <w:tcW w:w="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畜牧单元牧场</w:t>
            </w:r>
          </w:p>
        </w:tc>
        <w:tc>
          <w:tcPr>
            <w:tcW w:w="1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设备操作类</w:t>
            </w:r>
          </w:p>
        </w:tc>
        <w:tc>
          <w:tcPr>
            <w:tcW w:w="1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机械自动化、汽车维修、电气自动化等相关专业</w:t>
            </w:r>
          </w:p>
        </w:tc>
        <w:tc>
          <w:tcPr>
            <w:tcW w:w="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畜牧、饲料单元各单位</w:t>
            </w:r>
          </w:p>
        </w:tc>
        <w:tc>
          <w:tcPr>
            <w:tcW w:w="1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人力类</w:t>
            </w:r>
          </w:p>
        </w:tc>
        <w:tc>
          <w:tcPr>
            <w:tcW w:w="1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人力资源、行政、公共事务、新闻学、工商管理等相关专业</w:t>
            </w:r>
          </w:p>
        </w:tc>
        <w:tc>
          <w:tcPr>
            <w:tcW w:w="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畜牧、饲料单元各单位</w:t>
            </w:r>
          </w:p>
        </w:tc>
        <w:tc>
          <w:tcPr>
            <w:tcW w:w="1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安全类</w:t>
            </w:r>
          </w:p>
        </w:tc>
        <w:tc>
          <w:tcPr>
            <w:tcW w:w="1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安全工程、消防工程等相关专业</w:t>
            </w:r>
          </w:p>
        </w:tc>
        <w:tc>
          <w:tcPr>
            <w:tcW w:w="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饲料单元分公司</w:t>
            </w:r>
          </w:p>
        </w:tc>
        <w:tc>
          <w:tcPr>
            <w:tcW w:w="1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销售类</w:t>
            </w:r>
          </w:p>
        </w:tc>
        <w:tc>
          <w:tcPr>
            <w:tcW w:w="1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专业不限（市场营销、工商管理、数字化等相关专业优先） </w:t>
            </w:r>
          </w:p>
        </w:tc>
        <w:tc>
          <w:tcPr>
            <w:tcW w:w="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饲料单元分公司</w:t>
            </w:r>
          </w:p>
        </w:tc>
        <w:tc>
          <w:tcPr>
            <w:tcW w:w="1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技术服务类</w:t>
            </w:r>
          </w:p>
        </w:tc>
        <w:tc>
          <w:tcPr>
            <w:tcW w:w="1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畜牧兽医、动科动医、饲料营养等相关专业</w:t>
            </w:r>
          </w:p>
        </w:tc>
        <w:tc>
          <w:tcPr>
            <w:tcW w:w="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饲料单元分公司</w:t>
            </w:r>
          </w:p>
        </w:tc>
        <w:tc>
          <w:tcPr>
            <w:tcW w:w="1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饲料生产类</w:t>
            </w:r>
          </w:p>
        </w:tc>
        <w:tc>
          <w:tcPr>
            <w:tcW w:w="1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机械、电气自动化、计算机、信息系统等相关专业</w:t>
            </w:r>
          </w:p>
        </w:tc>
        <w:tc>
          <w:tcPr>
            <w:tcW w:w="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饲料单元分公司</w:t>
            </w:r>
          </w:p>
        </w:tc>
        <w:tc>
          <w:tcPr>
            <w:tcW w:w="1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精益管理类</w:t>
            </w:r>
          </w:p>
        </w:tc>
        <w:tc>
          <w:tcPr>
            <w:tcW w:w="1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畜牧兽医、动科动医、饲料营养、机械、电气自动化、计算机、信息系统等相关专业</w:t>
            </w:r>
          </w:p>
        </w:tc>
        <w:tc>
          <w:tcPr>
            <w:tcW w:w="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草业单元</w:t>
            </w:r>
          </w:p>
        </w:tc>
        <w:tc>
          <w:tcPr>
            <w:tcW w:w="13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农技类</w:t>
            </w:r>
          </w:p>
        </w:tc>
        <w:tc>
          <w:tcPr>
            <w:tcW w:w="12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草业科学、农学类等相关专业</w:t>
            </w:r>
          </w:p>
        </w:tc>
        <w:tc>
          <w:tcPr>
            <w:tcW w:w="7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三、薪酬福利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（一）公司为员工提供同行业极具竞争力的薪酬水平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本科：1、职能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：月薪5000＋，综合年收入7万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+；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720" w:firstLineChars="3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2、生产：月薪6000+，综合年收入8万+；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硕士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1、职能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：月薪7000＋，综合年收入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+；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720" w:firstLineChars="3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2、生产：月薪7600+，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综合年收入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+；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（二）福利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1.五险一金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加意外险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2.免费公寓拎包入住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牧场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免费食堂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4.带薪休假、节假日福利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5.生日礼金、新婚礼金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6.年度体检、多项社团活动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四、招聘安排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（一）校园招聘流程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校园宣讲→简历投递→筛选简历→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面试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网测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背调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录用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→发放offer→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签订协议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体检-入职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（二）简历投递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网络投递：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公司总部或者内蒙西部区以外其他省份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扫描下方二维码投递简历。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drawing>
          <wp:inline distT="0" distB="0" distL="114300" distR="114300">
            <wp:extent cx="2524125" cy="2495550"/>
            <wp:effectExtent l="0" t="0" r="9525" b="0"/>
            <wp:docPr id="2" name="图片 2" descr="172835634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8356340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内蒙西部区范围：电话联系李儒玥：18047102840（同微信）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（三）面试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牧场/分公司内部初试，初试通过推荐总部复试。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4D401"/>
    <w:multiLevelType w:val="singleLevel"/>
    <w:tmpl w:val="3AA4D4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55FC7"/>
    <w:rsid w:val="15EF210B"/>
    <w:rsid w:val="1AA55FC7"/>
    <w:rsid w:val="75B7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1775</Words>
  <Characters>1867</Characters>
  <Lines>0</Lines>
  <Paragraphs>0</Paragraphs>
  <TotalTime>0</TotalTime>
  <ScaleCrop>false</ScaleCrop>
  <LinksUpToDate>false</LinksUpToDate>
  <CharactersWithSpaces>1868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2024-10-08T02:18:00Z</dcterms:created>
  <dc:creator>李儒玥</dc:creator>
  <cp:lastModifiedBy>李儒玥</cp:lastModifiedBy>
  <dcterms:modified xsi:type="dcterms:W3CDTF">2024-10-08T03:19:53Z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12D76337B01E401CABFC955F18D08181</vt:lpwstr>
  </property>
</Properties>
</file>